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E8" w:rsidRPr="00A91CE8" w:rsidRDefault="00A91CE8" w:rsidP="00A91C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A91CE8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«Детский сад № 37 «Журавлик» города Евпатории Республики Крым»</w:t>
      </w:r>
    </w:p>
    <w:p w:rsidR="00A91CE8" w:rsidRPr="00A91CE8" w:rsidRDefault="00A91CE8" w:rsidP="00A91CE8">
      <w:pPr>
        <w:jc w:val="center"/>
        <w:rPr>
          <w:rFonts w:ascii="Times New Roman" w:hAnsi="Times New Roman" w:cs="Times New Roman"/>
          <w:b/>
          <w:szCs w:val="24"/>
        </w:rPr>
      </w:pPr>
      <w:r w:rsidRPr="00A91CE8">
        <w:rPr>
          <w:rFonts w:ascii="Times New Roman" w:hAnsi="Times New Roman" w:cs="Times New Roman"/>
          <w:b/>
          <w:szCs w:val="24"/>
        </w:rPr>
        <w:t xml:space="preserve">297403, Российская Федерация, Республики Крым, город Евпатория, ул.Некрасова 90А, телефон +736569 54584, +736569 54974, элект.адрес </w:t>
      </w:r>
      <w:hyperlink r:id="rId8" w:history="1"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  <w:lang w:val="en-US"/>
          </w:rPr>
          <w:t>duz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</w:rPr>
          <w:t>37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  <w:lang w:val="en-US"/>
          </w:rPr>
          <w:t>zhuravlik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</w:rPr>
          <w:t>@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  <w:lang w:val="en-US"/>
          </w:rPr>
          <w:t>mail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</w:rPr>
          <w:t>.</w:t>
        </w:r>
        <w:r w:rsidRPr="00A91CE8">
          <w:rPr>
            <w:rFonts w:ascii="Times New Roman" w:hAnsi="Times New Roman" w:cs="Times New Roman"/>
            <w:b/>
            <w:color w:val="0000FF"/>
            <w:szCs w:val="24"/>
            <w:u w:val="single"/>
            <w:lang w:val="en-US"/>
          </w:rPr>
          <w:t>ru</w:t>
        </w:r>
      </w:hyperlink>
    </w:p>
    <w:p w:rsidR="00A91CE8" w:rsidRDefault="0049739A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УТВЕРЖДАЮ</w:t>
      </w:r>
    </w:p>
    <w:p w:rsidR="0049739A" w:rsidRPr="0049739A" w:rsidRDefault="0049739A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Заведующий МБДОУ «ДС № 37 «Журавлик»</w:t>
      </w:r>
    </w:p>
    <w:p w:rsidR="0049739A" w:rsidRPr="0049739A" w:rsidRDefault="0049739A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__________Е.О.Калашникова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9739A">
        <w:rPr>
          <w:rFonts w:ascii="Times New Roman" w:eastAsia="Times New Roman" w:hAnsi="Times New Roman" w:cs="Times New Roman"/>
          <w:szCs w:val="24"/>
          <w:lang w:eastAsia="ru-RU"/>
        </w:rPr>
        <w:t>18.04.2018г.</w:t>
      </w:r>
    </w:p>
    <w:p w:rsidR="00A91CE8" w:rsidRPr="00A91CE8" w:rsidRDefault="00A91CE8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Pr="00A91CE8" w:rsidRDefault="00A91CE8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Pr="00A91CE8" w:rsidRDefault="00A91CE8" w:rsidP="00A9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Pr="0049739A" w:rsidRDefault="00A91CE8" w:rsidP="00A91CE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>ОТЧЕТ</w:t>
      </w:r>
    </w:p>
    <w:p w:rsidR="00A91CE8" w:rsidRDefault="00A91CE8" w:rsidP="0049739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>О РЕЗУЛЬТАТАХ САМООБСЛЕДОВАНИЯ</w:t>
      </w:r>
    </w:p>
    <w:p w:rsidR="0049739A" w:rsidRPr="0049739A" w:rsidRDefault="0049739A" w:rsidP="0049739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5748E" w:rsidRDefault="00A91CE8" w:rsidP="00A91CE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бюджетного образовательного учреждения </w:t>
      </w:r>
    </w:p>
    <w:p w:rsidR="00A91CE8" w:rsidRPr="0049739A" w:rsidRDefault="00A91CE8" w:rsidP="00A91CE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«Детский </w:t>
      </w:r>
      <w:r w:rsidR="0015748E"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>сад №</w:t>
      </w:r>
      <w:r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37 «Журавлик» города Евпатории Республики Крым»</w:t>
      </w:r>
    </w:p>
    <w:p w:rsidR="00A91CE8" w:rsidRDefault="00C970FF" w:rsidP="0049739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2017 </w:t>
      </w:r>
      <w:r w:rsidR="00A91CE8" w:rsidRPr="0049739A">
        <w:rPr>
          <w:rFonts w:ascii="Times New Roman" w:eastAsia="Times New Roman" w:hAnsi="Times New Roman" w:cs="Times New Roman"/>
          <w:b/>
          <w:szCs w:val="24"/>
          <w:lang w:eastAsia="ru-RU"/>
        </w:rPr>
        <w:t>год</w:t>
      </w:r>
    </w:p>
    <w:p w:rsidR="0049739A" w:rsidRPr="0049739A" w:rsidRDefault="0049739A" w:rsidP="0049739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Pr="00A91CE8" w:rsidRDefault="00A91CE8" w:rsidP="00A91CE8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Отчет о результатах самообследования муниципального бюджетного дошкольного образовательного учреждения «Детский сад № 37 «Журавлик»  города Евпатории Республики Крым» составлен комиссией в составе: заведующего Калашниковой Е.О., заместителя заведующего по учебно-воспитательной работе Бондаревой Ю.В., старшего воспитателя Киреевой Т.Н., старшего воспитателя Сеитхалиловой С.А., заведующего хозяйством Абдураимова С.И., медицинской сестры Невструевой Е.А., медицинской сестры по диетическому питанию Федунив Л.С., в соответствии с приказом МОиН РФ № 462 от 14.06.2013 «Об утверждении Порядка проведения самообследования образовательной организацией»</w:t>
      </w:r>
      <w:r>
        <w:rPr>
          <w:rFonts w:ascii="Times New Roman" w:eastAsia="Times New Roman" w:hAnsi="Times New Roman" w:cs="Times New Roman"/>
          <w:szCs w:val="24"/>
          <w:lang w:eastAsia="ru-RU"/>
        </w:rPr>
        <w:t>, приказа Минобрнауки России от 14.12.201</w:t>
      </w:r>
      <w:r w:rsidR="00C970FF">
        <w:rPr>
          <w:rFonts w:ascii="Times New Roman" w:eastAsia="Times New Roman" w:hAnsi="Times New Roman" w:cs="Times New Roman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г. № 1218 «О внесении изменений в Порядок проведения </w:t>
      </w:r>
      <w:r w:rsidR="00C970FF">
        <w:rPr>
          <w:rFonts w:ascii="Times New Roman" w:eastAsia="Times New Roman" w:hAnsi="Times New Roman" w:cs="Times New Roman"/>
          <w:szCs w:val="24"/>
          <w:lang w:eastAsia="ru-RU"/>
        </w:rPr>
        <w:t xml:space="preserve">самообследования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образовательной организации, утвержденный приказом </w:t>
      </w:r>
      <w:r w:rsidRPr="00A91CE8">
        <w:rPr>
          <w:rFonts w:ascii="Times New Roman" w:eastAsia="Times New Roman" w:hAnsi="Times New Roman" w:cs="Times New Roman"/>
          <w:szCs w:val="24"/>
          <w:lang w:eastAsia="ru-RU"/>
        </w:rPr>
        <w:t>МОиН РФ № 462 от 14.06.2013</w:t>
      </w:r>
      <w:r w:rsidR="00C970FF">
        <w:rPr>
          <w:rFonts w:ascii="Times New Roman" w:eastAsia="Times New Roman" w:hAnsi="Times New Roman" w:cs="Times New Roman"/>
          <w:szCs w:val="24"/>
          <w:lang w:eastAsia="ru-RU"/>
        </w:rPr>
        <w:t>г.»</w:t>
      </w:r>
      <w:r w:rsidRPr="00A91CE8">
        <w:rPr>
          <w:rFonts w:ascii="Times New Roman" w:eastAsia="Times New Roman" w:hAnsi="Times New Roman" w:cs="Times New Roman"/>
          <w:szCs w:val="24"/>
          <w:lang w:eastAsia="ru-RU"/>
        </w:rPr>
        <w:t xml:space="preserve"> и включает аналитическую часть, результаты анализа показателей деятельности.</w:t>
      </w:r>
    </w:p>
    <w:p w:rsid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t>Аналитическая часть представлена следующими направлениями:</w:t>
      </w:r>
    </w:p>
    <w:p w:rsidR="000F3F08" w:rsidRPr="000F3F08" w:rsidRDefault="000F3F0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>- общие сведения об образовательной организации;</w:t>
      </w:r>
    </w:p>
    <w:p w:rsidR="00A91CE8" w:rsidRPr="000F3F0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система</w:t>
      </w:r>
      <w:r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управления организации;</w:t>
      </w:r>
    </w:p>
    <w:p w:rsidR="00A91CE8" w:rsidRPr="000F3F0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-оценка 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>образовательной деятельности</w:t>
      </w:r>
      <w:r w:rsidRPr="000F3F0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0F3F08" w:rsidRPr="000F3F08" w:rsidRDefault="000F3F0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15748E" w:rsidRPr="000F3F08">
        <w:rPr>
          <w:rFonts w:ascii="Times New Roman" w:eastAsia="Times New Roman" w:hAnsi="Times New Roman" w:cs="Times New Roman"/>
          <w:szCs w:val="24"/>
          <w:lang w:eastAsia="ru-RU"/>
        </w:rPr>
        <w:t>функционирование внутренней</w:t>
      </w:r>
      <w:r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системы оценки качества образования</w:t>
      </w:r>
    </w:p>
    <w:p w:rsidR="00E72559" w:rsidRPr="000F3F0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72559" w:rsidRPr="000F3F08">
        <w:rPr>
          <w:rFonts w:ascii="Times New Roman" w:eastAsia="Times New Roman" w:hAnsi="Times New Roman" w:cs="Times New Roman"/>
          <w:szCs w:val="24"/>
          <w:lang w:eastAsia="ru-RU"/>
        </w:rPr>
        <w:t>оценка кадрового обеспечения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A91CE8" w:rsidRPr="000F3F08" w:rsidRDefault="0015748E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-оценка учебно-</w:t>
      </w:r>
      <w:r w:rsidR="00A91CE8" w:rsidRPr="000F3F08">
        <w:rPr>
          <w:rFonts w:ascii="Times New Roman" w:eastAsia="Times New Roman" w:hAnsi="Times New Roman" w:cs="Times New Roman"/>
          <w:szCs w:val="24"/>
          <w:lang w:eastAsia="ru-RU"/>
        </w:rPr>
        <w:t>методического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и библиотечно-информационного</w:t>
      </w:r>
      <w:r w:rsidR="00A91CE8" w:rsidRPr="000F3F08">
        <w:rPr>
          <w:rFonts w:ascii="Times New Roman" w:eastAsia="Times New Roman" w:hAnsi="Times New Roman" w:cs="Times New Roman"/>
          <w:szCs w:val="24"/>
          <w:lang w:eastAsia="ru-RU"/>
        </w:rPr>
        <w:t xml:space="preserve"> обеспечения;</w:t>
      </w:r>
    </w:p>
    <w:p w:rsidR="00A91CE8" w:rsidRP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3F08">
        <w:rPr>
          <w:rFonts w:ascii="Times New Roman" w:eastAsia="Times New Roman" w:hAnsi="Times New Roman" w:cs="Times New Roman"/>
          <w:szCs w:val="24"/>
          <w:lang w:eastAsia="ru-RU"/>
        </w:rPr>
        <w:t>-оценка материально</w:t>
      </w:r>
      <w:r w:rsidR="000F3F08" w:rsidRPr="000F3F08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3F08">
        <w:rPr>
          <w:rFonts w:ascii="Times New Roman" w:eastAsia="Times New Roman" w:hAnsi="Times New Roman" w:cs="Times New Roman"/>
          <w:szCs w:val="24"/>
          <w:lang w:eastAsia="ru-RU"/>
        </w:rPr>
        <w:t>технической базы.</w:t>
      </w:r>
    </w:p>
    <w:p w:rsidR="00A91CE8" w:rsidRPr="00A91CE8" w:rsidRDefault="00A91CE8" w:rsidP="00A91CE8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 xml:space="preserve">Анализ показателей деятельности проведен в </w:t>
      </w:r>
      <w:bookmarkStart w:id="0" w:name="_GoBack"/>
      <w:bookmarkEnd w:id="0"/>
      <w:r w:rsidR="0015748E" w:rsidRPr="00A91CE8">
        <w:rPr>
          <w:rFonts w:ascii="Times New Roman" w:eastAsia="Times New Roman" w:hAnsi="Times New Roman" w:cs="Times New Roman"/>
          <w:szCs w:val="24"/>
          <w:lang w:eastAsia="ru-RU"/>
        </w:rPr>
        <w:t>соответствии с</w:t>
      </w:r>
      <w:r w:rsidRPr="00A91CE8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приказом МОН РФ № 1324 «Об утверждении показателей деятельности образовательной организации, подлежащей самообследованию».</w:t>
      </w:r>
    </w:p>
    <w:p w:rsid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Default="00A91CE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Аналитическая часть.</w:t>
      </w:r>
    </w:p>
    <w:p w:rsidR="000F3F08" w:rsidRDefault="000F3F08" w:rsidP="00A91CE8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F3F08" w:rsidRDefault="000F3F08" w:rsidP="000F3F08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Pr="000F3F08">
        <w:rPr>
          <w:rFonts w:ascii="Times New Roman" w:eastAsia="Times New Roman" w:hAnsi="Times New Roman" w:cs="Times New Roman"/>
          <w:b/>
          <w:szCs w:val="24"/>
          <w:lang w:eastAsia="ru-RU"/>
        </w:rPr>
        <w:t>бщие сведения об образовательной организации</w:t>
      </w:r>
    </w:p>
    <w:p w:rsidR="00D74F2A" w:rsidRDefault="00D74F2A" w:rsidP="00D74F2A">
      <w:pPr>
        <w:pStyle w:val="a5"/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46"/>
      </w:tblGrid>
      <w:tr w:rsidR="000F3F08" w:rsidRPr="00A91CE8" w:rsidTr="00D74F2A">
        <w:trPr>
          <w:trHeight w:val="42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2A" w:rsidRPr="00D74F2A" w:rsidRDefault="00D74F2A" w:rsidP="00D7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F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  <w:r w:rsidRPr="00D74F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(ОГРН)  № 1149102179126 от 18.06.2015 года, Основной государственный регистрационный номер 2125007037296 </w:t>
            </w:r>
          </w:p>
          <w:p w:rsidR="00D74F2A" w:rsidRPr="00D74F2A" w:rsidRDefault="00D74F2A" w:rsidP="00D7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F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ОГРН</w:t>
            </w:r>
            <w:r w:rsidRPr="00D74F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1149102179126. </w:t>
            </w:r>
            <w:r w:rsidRPr="00D74F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ИНН\КПП </w:t>
            </w:r>
            <w:r w:rsidRPr="00D74F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9110087378\911001001</w:t>
            </w:r>
          </w:p>
          <w:p w:rsidR="00D74F2A" w:rsidRPr="00D74F2A" w:rsidRDefault="00D74F2A" w:rsidP="00D74F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Устав</w:t>
            </w:r>
            <w:r w:rsidRPr="00D74F2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от 21. 07. 2015 года № 646 – п, утвержденный Приказом Управления образования города Евпатории  </w:t>
            </w:r>
          </w:p>
        </w:tc>
      </w:tr>
      <w:tr w:rsidR="000F3F08" w:rsidRPr="00A91CE8" w:rsidTr="00D74F2A">
        <w:trPr>
          <w:trHeight w:val="42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Калашникова Елена Олеговна</w:t>
            </w:r>
          </w:p>
        </w:tc>
      </w:tr>
      <w:tr w:rsidR="000F3F08" w:rsidRPr="00A91CE8" w:rsidTr="00D74F2A">
        <w:trPr>
          <w:trHeight w:val="32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D74F2A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 xml:space="preserve">297403 г., Российская Федерация, Республика Крым, город </w:t>
            </w:r>
            <w:r w:rsidR="000F3F08" w:rsidRPr="00D74F2A">
              <w:rPr>
                <w:rFonts w:ascii="Times New Roman" w:hAnsi="Times New Roman" w:cs="Times New Roman"/>
                <w:szCs w:val="24"/>
              </w:rPr>
              <w:t>Евпатория, улица Некрасова, дом 90А</w:t>
            </w:r>
          </w:p>
        </w:tc>
      </w:tr>
      <w:tr w:rsidR="000F3F08" w:rsidRPr="00A91CE8" w:rsidTr="00D74F2A">
        <w:trPr>
          <w:trHeight w:val="32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+736569 54584, +736569 54974</w:t>
            </w:r>
          </w:p>
        </w:tc>
      </w:tr>
      <w:tr w:rsidR="000F3F08" w:rsidRPr="00A91CE8" w:rsidTr="00D74F2A">
        <w:trPr>
          <w:trHeight w:val="28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E533B4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  <w:lang w:val="en-US"/>
                </w:rPr>
                <w:t>duz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</w:rPr>
                <w:t>37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  <w:lang w:val="en-US"/>
                </w:rPr>
                <w:t>zhuravlik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</w:rPr>
                <w:t>@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  <w:lang w:val="en-US"/>
                </w:rPr>
                <w:t>mail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</w:rPr>
                <w:t>.</w:t>
              </w:r>
              <w:r w:rsidR="00D74F2A" w:rsidRPr="00D74F2A">
                <w:rPr>
                  <w:rStyle w:val="a8"/>
                  <w:rFonts w:ascii="Times New Roman" w:hAnsi="Times New Roman" w:cs="Times New Roman"/>
                  <w:color w:val="auto"/>
                  <w:szCs w:val="24"/>
                  <w:lang w:val="en-US"/>
                </w:rPr>
                <w:t>ru</w:t>
              </w:r>
            </w:hyperlink>
          </w:p>
        </w:tc>
      </w:tr>
      <w:tr w:rsidR="00D74F2A" w:rsidRPr="00A91CE8" w:rsidTr="00D74F2A">
        <w:trPr>
          <w:trHeight w:val="28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A" w:rsidRPr="00D74F2A" w:rsidRDefault="00D74F2A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A" w:rsidRPr="00D74F2A" w:rsidRDefault="00D74F2A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журавлик37.рф</w:t>
            </w:r>
          </w:p>
        </w:tc>
      </w:tr>
      <w:tr w:rsidR="000F3F08" w:rsidRPr="00A91CE8" w:rsidTr="00D74F2A">
        <w:trPr>
          <w:trHeight w:val="28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Управление образования администрации города Евпатории</w:t>
            </w:r>
          </w:p>
        </w:tc>
      </w:tr>
      <w:tr w:rsidR="000F3F08" w:rsidRPr="00A91CE8" w:rsidTr="00D74F2A">
        <w:trPr>
          <w:trHeight w:val="28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1980 год</w:t>
            </w:r>
          </w:p>
        </w:tc>
      </w:tr>
      <w:tr w:rsidR="000F3F08" w:rsidRPr="00A91CE8" w:rsidTr="00D74F2A">
        <w:trPr>
          <w:trHeight w:val="28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08" w:rsidRPr="00D74F2A" w:rsidRDefault="000F3F08" w:rsidP="006C37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F2A">
              <w:rPr>
                <w:rFonts w:ascii="Times New Roman" w:hAnsi="Times New Roman" w:cs="Times New Roman"/>
                <w:szCs w:val="24"/>
              </w:rPr>
              <w:t>От 07.12.2015 № 0045, серия 82Л01 № 0000047</w:t>
            </w:r>
          </w:p>
        </w:tc>
      </w:tr>
    </w:tbl>
    <w:p w:rsidR="00D74F2A" w:rsidRDefault="00D74F2A" w:rsidP="000F3F08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0F3F08" w:rsidRPr="00D74F2A" w:rsidRDefault="000F3F08" w:rsidP="00D74F2A">
      <w:pPr>
        <w:spacing w:after="0" w:line="240" w:lineRule="auto"/>
        <w:ind w:firstLine="708"/>
        <w:rPr>
          <w:rFonts w:ascii="Times New Roman" w:hAnsi="Times New Roman" w:cs="Times New Roman"/>
          <w:szCs w:val="24"/>
          <w:vertAlign w:val="superscript"/>
        </w:rPr>
      </w:pPr>
      <w:r w:rsidRPr="00D74F2A">
        <w:rPr>
          <w:rFonts w:ascii="Times New Roman" w:hAnsi="Times New Roman" w:cs="Times New Roman"/>
          <w:szCs w:val="24"/>
        </w:rPr>
        <w:t xml:space="preserve">Муниципальное бюджетное дошкольное образовательное учреждение «Детский сад № 37 «Журавлик» города Евпатории Республики Крым»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280  мест. Общая площадь здания </w:t>
      </w:r>
      <w:r w:rsidR="00D74F2A" w:rsidRPr="00D74F2A">
        <w:rPr>
          <w:rFonts w:ascii="Times New Roman" w:hAnsi="Times New Roman" w:cs="Times New Roman"/>
          <w:szCs w:val="24"/>
        </w:rPr>
        <w:t xml:space="preserve">3752 </w:t>
      </w:r>
      <w:r w:rsidRPr="00D74F2A">
        <w:rPr>
          <w:rFonts w:ascii="Times New Roman" w:hAnsi="Times New Roman" w:cs="Times New Roman"/>
          <w:szCs w:val="24"/>
        </w:rPr>
        <w:t xml:space="preserve"> кв. м, из них площадь помещений, используемых непосредственно для нужд образовательного процесса, </w:t>
      </w:r>
      <w:r w:rsidR="00D74F2A" w:rsidRPr="00D74F2A">
        <w:rPr>
          <w:rFonts w:ascii="Times New Roman" w:hAnsi="Times New Roman" w:cs="Times New Roman"/>
          <w:szCs w:val="24"/>
        </w:rPr>
        <w:t>1584,2</w:t>
      </w:r>
      <w:r w:rsidRPr="00D74F2A">
        <w:rPr>
          <w:rFonts w:ascii="Times New Roman" w:hAnsi="Times New Roman" w:cs="Times New Roman"/>
          <w:szCs w:val="24"/>
        </w:rPr>
        <w:t xml:space="preserve"> кв. м.</w:t>
      </w:r>
    </w:p>
    <w:p w:rsidR="000F3F08" w:rsidRPr="00D74F2A" w:rsidRDefault="000F3F08" w:rsidP="00D74F2A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D74F2A">
        <w:rPr>
          <w:rFonts w:ascii="Times New Roman" w:hAnsi="Times New Roman" w:cs="Times New Roman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0F3F08" w:rsidRPr="00D74F2A" w:rsidRDefault="000F3F08" w:rsidP="00D74F2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D74F2A">
        <w:rPr>
          <w:rFonts w:ascii="Times New Roman" w:eastAsia="Times New Roman" w:hAnsi="Times New Roman" w:cs="Times New Roman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F3F08" w:rsidRPr="00D74F2A" w:rsidRDefault="000F3F08" w:rsidP="000F3F0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4F2A">
        <w:rPr>
          <w:rFonts w:ascii="Times New Roman" w:hAnsi="Times New Roman" w:cs="Times New Roman"/>
          <w:szCs w:val="24"/>
        </w:rPr>
        <w:t>Режим работы Детского сада</w:t>
      </w:r>
      <w:r w:rsidR="00D74F2A" w:rsidRPr="00D74F2A">
        <w:rPr>
          <w:rFonts w:ascii="Times New Roman" w:hAnsi="Times New Roman" w:cs="Times New Roman"/>
          <w:szCs w:val="24"/>
        </w:rPr>
        <w:t>: р</w:t>
      </w:r>
      <w:r w:rsidRPr="00D74F2A">
        <w:rPr>
          <w:rFonts w:ascii="Times New Roman" w:hAnsi="Times New Roman" w:cs="Times New Roman"/>
          <w:szCs w:val="24"/>
        </w:rPr>
        <w:t>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D74F2A" w:rsidRPr="00920210" w:rsidRDefault="00D74F2A" w:rsidP="00D74F2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Pr="00920210">
        <w:rPr>
          <w:rFonts w:ascii="Times New Roman" w:eastAsia="Times New Roman" w:hAnsi="Times New Roman" w:cs="Times New Roman"/>
          <w:b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а</w:t>
      </w:r>
      <w:r w:rsidRPr="009202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управления организации.</w:t>
      </w:r>
    </w:p>
    <w:p w:rsidR="00D74F2A" w:rsidRPr="00920210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Управление МБДОУ «ДС № 37 «Журавлик»  осуществляется в соответствии с действующим законодательством Российской Федерации с учётом особенностей, установленных  статьёй 26 Федерального закона «Об образовании в Российской Федерации» от 29.12.2012 г. № 273-ФЗ.</w:t>
      </w:r>
    </w:p>
    <w:p w:rsidR="00D74F2A" w:rsidRPr="00920210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Учредителем  ДОУ является муниципальное образование городской округ Евпатория Республики Крым. Функции и полномочия учредителя учреждения от имени муниципального образования осуществляет уполномоченный орган администрации города Евпатории Республики Крым - управление образования администрации города 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Евпатории Республики Крым. Общее руководство Учреждением осуществляет руководитель – заведующий Калашникова Е.О.</w:t>
      </w:r>
    </w:p>
    <w:p w:rsidR="00D74F2A" w:rsidRPr="00920210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В ДОУ сформированы коллегиальные органы управления:</w:t>
      </w:r>
    </w:p>
    <w:p w:rsidR="00D74F2A" w:rsidRPr="00920210" w:rsidRDefault="00D74F2A" w:rsidP="00D74F2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Общее собрание работников ДОУ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- представляет полномочия работников ДОУ, в состав Общего собрания входят все сотрудники ДОУ.</w:t>
      </w:r>
    </w:p>
    <w:p w:rsidR="00D74F2A" w:rsidRPr="00920210" w:rsidRDefault="00D74F2A" w:rsidP="00D74F2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Педагогический совет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является заведующий ДОУ – Калашникова Е.О.</w:t>
      </w:r>
    </w:p>
    <w:p w:rsidR="00D74F2A" w:rsidRPr="00920210" w:rsidRDefault="00D74F2A" w:rsidP="00D74F2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u w:val="single"/>
          <w:lang w:eastAsia="ru-RU"/>
        </w:rPr>
        <w:t>Управляющий совет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 -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  В Управляющий совет входят работники учреждения (4 человека) и родители воспитанников учреждения (4 человека).</w:t>
      </w:r>
    </w:p>
    <w:p w:rsidR="00D74F2A" w:rsidRPr="00920210" w:rsidRDefault="00D74F2A" w:rsidP="00D74F2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Заведующий Учреждения является не избираемым членом Управляющего совета. Общее количество членов Управляющего совета 9 человек.</w:t>
      </w:r>
    </w:p>
    <w:p w:rsidR="00D74F2A" w:rsidRPr="00920210" w:rsidRDefault="00D74F2A" w:rsidP="00D74F2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Попечительский совет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- целью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ДОУ, его обучающихся и работников.</w:t>
      </w:r>
    </w:p>
    <w:p w:rsidR="00D74F2A" w:rsidRPr="00920210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об Управляющем совете, Положением о Попечительском совете.</w:t>
      </w:r>
    </w:p>
    <w:p w:rsidR="00D74F2A" w:rsidRPr="00920210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комитет), председателем профсоюзного комитета в 201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920210">
        <w:rPr>
          <w:rFonts w:ascii="Times New Roman" w:eastAsia="Times New Roman" w:hAnsi="Times New Roman" w:cs="Times New Roman"/>
          <w:szCs w:val="24"/>
          <w:lang w:eastAsia="ru-RU"/>
        </w:rPr>
        <w:t xml:space="preserve"> году  является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педагог-психолог Рудакова Г.В.</w:t>
      </w:r>
    </w:p>
    <w:p w:rsidR="00D74F2A" w:rsidRDefault="00D74F2A" w:rsidP="00D74F2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210">
        <w:rPr>
          <w:rFonts w:ascii="Times New Roman" w:eastAsia="Times New Roman" w:hAnsi="Times New Roman" w:cs="Times New Roman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 и родителей (законных представителей).</w:t>
      </w:r>
    </w:p>
    <w:p w:rsidR="000F3F08" w:rsidRPr="00A91CE8" w:rsidRDefault="000F3F08" w:rsidP="00016F90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1CE8" w:rsidRPr="00920210" w:rsidRDefault="00A91CE8" w:rsidP="000F3F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20210">
        <w:rPr>
          <w:rFonts w:ascii="Times New Roman" w:hAnsi="Times New Roman" w:cs="Times New Roman"/>
          <w:b/>
          <w:szCs w:val="24"/>
        </w:rPr>
        <w:t>Оценка образовательной деятельности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 МБДОУ «ДС № 37 «Журавлик», которая составлена в соответствии с ФГОС дошкольного образования, с учетом </w:t>
      </w:r>
      <w:r w:rsidRPr="00A91CE8">
        <w:rPr>
          <w:rFonts w:ascii="Times New Roman" w:hAnsi="Times New Roman" w:cs="Times New Roman"/>
          <w:szCs w:val="24"/>
        </w:rPr>
        <w:lastRenderedPageBreak/>
        <w:t>примерной образовательной программы дошкольного образования «От рождения до школы» под редакцией Н.Е. Вераксы, санитарно-эпидемиологическими правилами и нормативами, с учетом недельной нагрузки.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Дошкольное учреждение посещают 322 воспитанников в возрасте от 2 до 7 лет. В ДОУ сформировано 10 групп общеразвивающей направленности и 2 группы компенсирующей направленности (логопедические).  Из них: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- 1 ясельная группа – 30 детей;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− 3 младших группы – 85 детей;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− 2 средние группы – 58 детей;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− 4 старшие группы – 100 детей;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− 2  подготовительные к школе группы – 49 детей.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диагностические срезы;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Разработаны диагностические карты освоения основной образовательной программы дошкольного образования ДОУ (ООП ДОУ) для каждой возрастной группы.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ДОУ на конец 2017 года выглядят следующим образом: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18"/>
        <w:gridCol w:w="918"/>
        <w:gridCol w:w="727"/>
        <w:gridCol w:w="880"/>
        <w:gridCol w:w="822"/>
        <w:gridCol w:w="846"/>
        <w:gridCol w:w="696"/>
        <w:gridCol w:w="1780"/>
      </w:tblGrid>
      <w:tr w:rsidR="00A91CE8" w:rsidRPr="00A91CE8" w:rsidTr="006C37D6">
        <w:trPr>
          <w:trHeight w:val="90"/>
          <w:jc w:val="center"/>
        </w:trPr>
        <w:tc>
          <w:tcPr>
            <w:tcW w:w="2515" w:type="dxa"/>
            <w:vMerge w:val="restar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Области развития</w:t>
            </w:r>
          </w:p>
        </w:tc>
        <w:tc>
          <w:tcPr>
            <w:tcW w:w="1917" w:type="dxa"/>
            <w:gridSpan w:val="2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60" w:type="dxa"/>
            <w:gridSpan w:val="2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 xml:space="preserve">Среднее </w:t>
            </w:r>
          </w:p>
        </w:tc>
        <w:tc>
          <w:tcPr>
            <w:tcW w:w="1751" w:type="dxa"/>
            <w:gridSpan w:val="2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Не соответствует развитию</w:t>
            </w:r>
          </w:p>
        </w:tc>
        <w:tc>
          <w:tcPr>
            <w:tcW w:w="2566" w:type="dxa"/>
            <w:gridSpan w:val="2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A91CE8" w:rsidRPr="00A91CE8" w:rsidTr="006C37D6">
        <w:trPr>
          <w:trHeight w:val="450"/>
          <w:jc w:val="center"/>
        </w:trPr>
        <w:tc>
          <w:tcPr>
            <w:tcW w:w="2515" w:type="dxa"/>
            <w:vMerge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% воспитанников в пределе нормы</w:t>
            </w:r>
          </w:p>
        </w:tc>
      </w:tr>
      <w:tr w:rsidR="00A91CE8" w:rsidRPr="00A91CE8" w:rsidTr="006C37D6">
        <w:trPr>
          <w:trHeight w:val="583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64,4%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32,7%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2,8%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97,1%</w:t>
            </w:r>
          </w:p>
        </w:tc>
      </w:tr>
      <w:tr w:rsidR="00A91CE8" w:rsidRPr="00A91CE8" w:rsidTr="006C37D6">
        <w:trPr>
          <w:trHeight w:val="857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75,7%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22,8%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1,4%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98,5%</w:t>
            </w:r>
          </w:p>
        </w:tc>
      </w:tr>
      <w:tr w:rsidR="00A91CE8" w:rsidRPr="00A91CE8" w:rsidTr="006C37D6">
        <w:trPr>
          <w:trHeight w:val="549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54,6%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39,8%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5,6%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94,4%</w:t>
            </w:r>
          </w:p>
        </w:tc>
      </w:tr>
      <w:tr w:rsidR="00A91CE8" w:rsidRPr="00A91CE8" w:rsidTr="006C37D6">
        <w:trPr>
          <w:trHeight w:val="695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62,4%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33,8%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3,8%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96,2%</w:t>
            </w:r>
          </w:p>
        </w:tc>
      </w:tr>
      <w:tr w:rsidR="00A91CE8" w:rsidRPr="00A91CE8" w:rsidTr="006C37D6">
        <w:trPr>
          <w:trHeight w:val="543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61,4%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3,5%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257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96,4%</w:t>
            </w:r>
          </w:p>
        </w:tc>
      </w:tr>
      <w:tr w:rsidR="00A91CE8" w:rsidRPr="00A91CE8" w:rsidTr="006C37D6">
        <w:trPr>
          <w:trHeight w:val="860"/>
          <w:jc w:val="center"/>
        </w:trPr>
        <w:tc>
          <w:tcPr>
            <w:tcW w:w="2515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178</w:t>
            </w:r>
          </w:p>
        </w:tc>
        <w:tc>
          <w:tcPr>
            <w:tcW w:w="110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64,1%</w:t>
            </w:r>
          </w:p>
        </w:tc>
        <w:tc>
          <w:tcPr>
            <w:tcW w:w="863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91</w:t>
            </w:r>
          </w:p>
        </w:tc>
        <w:tc>
          <w:tcPr>
            <w:tcW w:w="897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32,5%</w:t>
            </w:r>
          </w:p>
        </w:tc>
        <w:tc>
          <w:tcPr>
            <w:tcW w:w="849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02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3,4%</w:t>
            </w:r>
          </w:p>
        </w:tc>
        <w:tc>
          <w:tcPr>
            <w:tcW w:w="696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279</w:t>
            </w:r>
          </w:p>
        </w:tc>
        <w:tc>
          <w:tcPr>
            <w:tcW w:w="1870" w:type="dxa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91CE8">
              <w:rPr>
                <w:rFonts w:ascii="Times New Roman" w:hAnsi="Times New Roman" w:cs="Times New Roman"/>
                <w:b/>
                <w:szCs w:val="24"/>
              </w:rPr>
              <w:t>96,6%</w:t>
            </w:r>
          </w:p>
        </w:tc>
      </w:tr>
    </w:tbl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 xml:space="preserve">В мае 2017 году педагоги ДОУ проводили обследование воспитанников подготовительной группы на предмет оценки сформированности предпосылок к учебной деятельности в количестве 47 человек. Задания позволили оценить возможность детей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</w:t>
      </w:r>
      <w:r w:rsidRPr="00A91CE8">
        <w:rPr>
          <w:rFonts w:ascii="Times New Roman" w:hAnsi="Times New Roman" w:cs="Times New Roman"/>
          <w:szCs w:val="24"/>
        </w:rPr>
        <w:lastRenderedPageBreak/>
        <w:t>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91CE8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Чтобы выбрать стратегию воспитательной работы, в 2017 году проводился анализ состава семей воспитанников.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85%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14%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0,7%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0,7%</w:t>
            </w:r>
          </w:p>
        </w:tc>
      </w:tr>
    </w:tbl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41%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44%</w:t>
            </w:r>
          </w:p>
        </w:tc>
      </w:tr>
      <w:tr w:rsidR="00A91CE8" w:rsidRPr="00A91CE8" w:rsidTr="006C37D6"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667" w:type="pct"/>
          </w:tcPr>
          <w:p w:rsidR="00A91CE8" w:rsidRPr="00A91CE8" w:rsidRDefault="00A91CE8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91CE8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</w:tbl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A91CE8" w:rsidRPr="00A91CE8" w:rsidRDefault="00A91CE8" w:rsidP="00A91C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91CE8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A91CE8" w:rsidRPr="00A91CE8" w:rsidRDefault="00A91CE8" w:rsidP="00A91CE8">
      <w:pPr>
        <w:spacing w:after="0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A91CE8">
        <w:rPr>
          <w:rFonts w:ascii="Times New Roman" w:hAnsi="Times New Roman" w:cs="Times New Roman"/>
          <w:szCs w:val="24"/>
          <w:lang w:eastAsia="ru-RU"/>
        </w:rPr>
        <w:t xml:space="preserve">На базе ДОУ функционируют 2 бесплатных кружка дополнительного образования «Английский язык» и «Путешествие в Природоград».   Кружок английского языка функционирует по программе обучения детей английскому языку в раннем возрасте, разработанный педагогом дополнительного образования Романовой О.В. </w:t>
      </w:r>
      <w:r w:rsidRPr="00A91CE8">
        <w:rPr>
          <w:rFonts w:ascii="Times New Roman" w:hAnsi="Times New Roman" w:cs="Times New Roman"/>
          <w:szCs w:val="24"/>
        </w:rPr>
        <w:t xml:space="preserve">Данная программа предназначена для обучения детей 5-6 лет и учитывает особенности их психологического и физического развития. Целью программы  является </w:t>
      </w:r>
      <w:r w:rsidRPr="00A91CE8">
        <w:rPr>
          <w:rFonts w:ascii="Times New Roman" w:hAnsi="Times New Roman" w:cs="Times New Roman"/>
          <w:szCs w:val="24"/>
          <w:lang w:eastAsia="ru-RU"/>
        </w:rPr>
        <w:t>ознакомление детей с несложной лексикой, доступной и соответствующей их уровню развития; презентация  элементарных языковых конструкций; воспитание и развитие личности посредством приобщения к культуре англоязычных стран с помощью детского фольклора.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 xml:space="preserve">Кружок «Путешествие в Природоград» организован МБОУ ДО «Эколого - биологический центр города Евпатории РК», целью которого является  экологическое воспитание и развитие дошкольников. </w:t>
      </w:r>
    </w:p>
    <w:p w:rsidR="00A91CE8" w:rsidRP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91CE8">
        <w:rPr>
          <w:rFonts w:ascii="Times New Roman" w:hAnsi="Times New Roman" w:cs="Times New Roman"/>
          <w:szCs w:val="24"/>
        </w:rPr>
        <w:t>Всего охвачено дополнительным образованием 149 (45,2%) воспитанников ДОУ.</w:t>
      </w:r>
    </w:p>
    <w:p w:rsidR="00A91CE8" w:rsidRDefault="00A91CE8" w:rsidP="00A91CE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016F90" w:rsidRDefault="00016F90" w:rsidP="0001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Pr="002D6876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Оценка ф</w:t>
      </w: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t>ункционировани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я</w:t>
      </w: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внутренней системы оценки качества образования</w:t>
      </w:r>
    </w:p>
    <w:p w:rsidR="00016F90" w:rsidRPr="002D6876" w:rsidRDefault="00016F90" w:rsidP="00016F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В ДОУ утверждено положение о внутренней системе оценки качества образования пр.№01-Б/01-04 от 21.01.2015 года. Мониторинг качества образовательной деятельности в 201году показал хорошую работу педагогического коллектива по всем показателям.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Результаты внутреннего контроля оформляются в виде справок, отчётов.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Состояние здоровья и физического развития воспитанников удовлетворительные.  92% детей успешно освоили образовательную программу дошкольного образования в своей возрастной группе. Воспитанники подготовительных и старших групп показали высокие показатели готовности к школьному обучению, 14% выпускников зачислены в школы с углубленным изучением предметов, 98% детей из подготовительной логопедической группы с 1 сентября 2017г</w:t>
      </w:r>
      <w:r w:rsidRPr="0028421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016F90">
        <w:rPr>
          <w:rFonts w:ascii="Times New Roman" w:eastAsia="Times New Roman" w:hAnsi="Times New Roman" w:cs="Times New Roman"/>
          <w:szCs w:val="24"/>
          <w:lang w:eastAsia="ru-RU"/>
        </w:rPr>
        <w:t>обучаются в  общеобразовательных учреждениях города, 2 человека – в гимназии №8.</w:t>
      </w:r>
      <w:r w:rsidRPr="00A91CE8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года воспитанники ДОУ успешно участвовали в конкурсах и мероприятиях различного уровня.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При проведении внутренней оценки качества образования изучается степень удовлетворенности родителей качеством образования в ДОУ: в период с 01.11.2017 по 25.11.2017 года проводилось анкетирование 145 родителей, получены следующие результаты:</w:t>
      </w:r>
    </w:p>
    <w:p w:rsidR="00016F90" w:rsidRPr="00A91CE8" w:rsidRDefault="00016F90" w:rsidP="00016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доля получателей услуг, положительно оценивающих доброжелательность и вежливость работников организации – 96%;</w:t>
      </w:r>
    </w:p>
    <w:p w:rsidR="00016F90" w:rsidRPr="00A91CE8" w:rsidRDefault="00016F90" w:rsidP="00016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доля получателей услуг, удовлетворенных компетентностью работников организации – 97%;</w:t>
      </w:r>
    </w:p>
    <w:p w:rsidR="00016F90" w:rsidRPr="00A91CE8" w:rsidRDefault="00016F90" w:rsidP="00016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доля получателей услуг, удовлетворенных материально-техническим обеспечением организации – 87%;</w:t>
      </w:r>
    </w:p>
    <w:p w:rsidR="00016F90" w:rsidRPr="00A91CE8" w:rsidRDefault="00016F90" w:rsidP="00016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доля получателей услуг, удовлетворенных качеством предоставляемых образовательных услуг – 95%;</w:t>
      </w:r>
    </w:p>
    <w:p w:rsidR="00016F90" w:rsidRPr="00A91CE8" w:rsidRDefault="00016F90" w:rsidP="00016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доля получателей услуг, которые готовы рекомендовать организацию родственникам и знакомым – 98%.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1CE8">
        <w:rPr>
          <w:rFonts w:ascii="Times New Roman" w:eastAsia="Times New Roman" w:hAnsi="Times New Roman" w:cs="Times New Roman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родительские собрания, праздники, досуги и пр.</w:t>
      </w:r>
    </w:p>
    <w:p w:rsidR="00016F90" w:rsidRPr="00007D4E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07D4E">
        <w:rPr>
          <w:rFonts w:ascii="Times New Roman" w:eastAsia="Times New Roman" w:hAnsi="Times New Roman" w:cs="Times New Roman"/>
          <w:szCs w:val="24"/>
          <w:lang w:eastAsia="ru-RU"/>
        </w:rPr>
        <w:t>Система внутренней оценки качества образования МБДОУ «ДС № 37 «Журавлик» функционирует в соответствии с требованиями действующего законодательства.</w:t>
      </w:r>
    </w:p>
    <w:p w:rsidR="00016F90" w:rsidRPr="00A91CE8" w:rsidRDefault="00016F90" w:rsidP="0001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07D4E">
        <w:rPr>
          <w:rFonts w:ascii="Times New Roman" w:eastAsia="Times New Roman" w:hAnsi="Times New Roman" w:cs="Times New Roman"/>
          <w:szCs w:val="24"/>
          <w:lang w:eastAsia="ru-RU"/>
        </w:rPr>
        <w:t>На основе самообследования деятельности ДОУ, представленной в аналитической части отчёта, можно сделать вывод, что в МБДОУ «ДС № 37 «Журавлик»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2D6876" w:rsidRDefault="002D6876" w:rsidP="00007D4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6876" w:rsidRPr="002D6876" w:rsidRDefault="002D6876" w:rsidP="002D687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876">
        <w:rPr>
          <w:rFonts w:ascii="Times New Roman" w:eastAsia="Times New Roman" w:hAnsi="Times New Roman" w:cs="Times New Roman"/>
          <w:b/>
          <w:szCs w:val="24"/>
          <w:lang w:eastAsia="ru-RU"/>
        </w:rPr>
        <w:t>5.Оценка качества кадрового обеспечения</w:t>
      </w:r>
    </w:p>
    <w:p w:rsidR="002D6876" w:rsidRPr="002D6876" w:rsidRDefault="002D6876" w:rsidP="002D6876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876">
        <w:rPr>
          <w:rFonts w:ascii="Times New Roman" w:eastAsia="Times New Roman" w:hAnsi="Times New Roman" w:cs="Times New Roman"/>
          <w:szCs w:val="24"/>
          <w:lang w:eastAsia="ru-RU"/>
        </w:rPr>
        <w:t xml:space="preserve">Детский сад укомплектован педагогами на 100% согласно штатному расписанию. Всего работают 65 человек. Педагогический коллектив ДОУ насчитывает 29 педагогов. Высшее образование из них имеют 27 человек (93,1%), высшее образование педагогической направленности 27 человек (93,1%). Среднее профессиональное образование педагогической направленности  - 2 педагога (6,8%). 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Соотношение воспитанников, приходящихся на 1 взрослого: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-воспитанник/педагоги – 10/1;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 воспитанники/все сотрудники – 4,9/1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lastRenderedPageBreak/>
        <w:t xml:space="preserve"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 80% педагогов имеют удостоверения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В 2017 г. прошли обучение: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 xml:space="preserve">- 11 педагогов детского сада  - курсы повышения квалификации  на базе ГБОУ ДПО РК КРИППО г. Симферополя; 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- 5 воспитателей и  заместитель заведующего по учебно-воспитательной работе прошли обучение по профессиональной переподготовке на базе АНО ДПО «Волгоградский институт профессионального роста» с получением дипломов;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 xml:space="preserve">- 1 педагог является студентом частного образовательного учреждения высшего образования «Самарская гуманитарная академия» по программе профессиональной переподготовки «Аналитическая психология. Психоанализ». </w:t>
      </w:r>
    </w:p>
    <w:p w:rsidR="002D6876" w:rsidRPr="002D6876" w:rsidRDefault="002D6876" w:rsidP="002D6876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876">
        <w:rPr>
          <w:rFonts w:ascii="Times New Roman" w:eastAsia="Times New Roman" w:hAnsi="Times New Roman" w:cs="Times New Roman"/>
          <w:szCs w:val="24"/>
          <w:lang w:eastAsia="ru-RU"/>
        </w:rPr>
        <w:t>Численность педагогических работников, которым по результатам аттестации присвоена квалификационная категория составила 22 человека, из них с первой квалификационной категорией 15 человек (51,7%), 7 педагогов (24,1%) – с высшей категорией. Соответствуют занимаемой должности 2 педагога (6,8%), молодые специалисты – 2 человека (6,8%), без категории – 3 человека (10,3%)</w:t>
      </w:r>
    </w:p>
    <w:p w:rsidR="002D6876" w:rsidRPr="002D6876" w:rsidRDefault="002D6876" w:rsidP="002D6876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876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0BF34837" wp14:editId="0F260AA0">
            <wp:extent cx="5011615" cy="2910254"/>
            <wp:effectExtent l="0" t="0" r="1778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За 2017 год педагогические работники прошли аттестацию и получили: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 первую квалификационную категорию – 1 педагог дополнительного образования («Английский язык для детей»);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Заместитель заведующего по учебно-воспитательной работе награждена почетной грамотой Министерства Образования и науки Российской Федерации за значительные заслуги в сфере образования.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 xml:space="preserve">Участие в профессиональных конкурсах, конференциях, семинарах - 1 человек; публикация статей и научно-методических разработок в различных, в том числе и электронных, изданиях за 2016-2017 уч. год – 5 человек. Уровень своих достижений педагоги доказывают, участвуя в методических мероприятиях разного уровня (город, ДОУ). Педагоги МБДОУ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Одним из важных условий достижения эффективности результатов </w:t>
      </w:r>
      <w:r w:rsidRPr="002D6876">
        <w:rPr>
          <w:rFonts w:ascii="Times New Roman" w:hAnsi="Times New Roman" w:cs="Times New Roman"/>
          <w:szCs w:val="24"/>
        </w:rPr>
        <w:lastRenderedPageBreak/>
        <w:t>является сформированная у педагогов потребность в постоянном, профессиональном росте.</w:t>
      </w: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D6876">
        <w:rPr>
          <w:rFonts w:ascii="Times New Roman" w:eastAsia="Times New Roman" w:hAnsi="Times New Roman" w:cs="Times New Roman"/>
          <w:szCs w:val="24"/>
          <w:lang w:eastAsia="ru-RU"/>
        </w:rPr>
        <w:t>Численность педагогических работников</w:t>
      </w:r>
    </w:p>
    <w:p w:rsidR="00007D4E" w:rsidRDefault="00007D4E" w:rsidP="002D68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b/>
          <w:szCs w:val="24"/>
          <w:lang w:bidi="en-US"/>
        </w:rPr>
        <w:t>По возрасту: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До 30 лет – 3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 30 до 40 лет – 8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 40 до 55 лет – 13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Свыше 55 лет – 5 чел.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417248C8" wp14:editId="585F0462">
            <wp:extent cx="2910254" cy="1661746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b/>
          <w:szCs w:val="24"/>
          <w:lang w:bidi="en-US"/>
        </w:rPr>
        <w:t>По стажу работы: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До 3  лет:  -  2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 3 до 10 лет - 7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 10 до 20 лет - 6 чел.;</w:t>
      </w:r>
    </w:p>
    <w:p w:rsidR="002D6876" w:rsidRPr="002D6876" w:rsidRDefault="002D6876" w:rsidP="002D6876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 20 до 30 лет – 12 чел.;</w:t>
      </w: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szCs w:val="24"/>
          <w:lang w:bidi="en-US"/>
        </w:rPr>
        <w:t>Свыше 30 лет – 2 чел.</w:t>
      </w: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bidi="en-US"/>
        </w:rPr>
      </w:pP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bidi="en-US"/>
        </w:rPr>
      </w:pPr>
      <w:r w:rsidRPr="002D6876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50381ABD" wp14:editId="13669729">
            <wp:extent cx="2743200" cy="1811215"/>
            <wp:effectExtent l="0" t="0" r="1905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bidi="en-US"/>
        </w:rPr>
      </w:pPr>
    </w:p>
    <w:p w:rsidR="002D6876" w:rsidRPr="002D6876" w:rsidRDefault="002D6876" w:rsidP="002D6876">
      <w:pPr>
        <w:spacing w:after="0"/>
        <w:jc w:val="both"/>
        <w:rPr>
          <w:rFonts w:ascii="Times New Roman" w:eastAsia="Times New Roman" w:hAnsi="Times New Roman" w:cs="Times New Roman"/>
          <w:szCs w:val="24"/>
          <w:lang w:bidi="en-US"/>
        </w:rPr>
      </w:pP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b/>
          <w:szCs w:val="24"/>
        </w:rPr>
        <w:t>Вывод:</w:t>
      </w:r>
      <w:r w:rsidRPr="002D6876">
        <w:rPr>
          <w:rFonts w:ascii="Times New Roman" w:hAnsi="Times New Roman" w:cs="Times New Roman"/>
          <w:szCs w:val="24"/>
        </w:rPr>
        <w:t xml:space="preserve"> В соответствии с требованиями ФГОС в образовательной о</w:t>
      </w:r>
      <w:r w:rsidR="00007D4E">
        <w:rPr>
          <w:rFonts w:ascii="Times New Roman" w:hAnsi="Times New Roman" w:cs="Times New Roman"/>
          <w:szCs w:val="24"/>
        </w:rPr>
        <w:t xml:space="preserve">рганизации созданы условия для </w:t>
      </w:r>
      <w:r w:rsidRPr="002D6876">
        <w:rPr>
          <w:rFonts w:ascii="Times New Roman" w:hAnsi="Times New Roman" w:cs="Times New Roman"/>
          <w:szCs w:val="24"/>
        </w:rPr>
        <w:t>оказания постоянной методической и информационной подд</w:t>
      </w:r>
      <w:r w:rsidR="00007D4E">
        <w:rPr>
          <w:rFonts w:ascii="Times New Roman" w:hAnsi="Times New Roman" w:cs="Times New Roman"/>
          <w:szCs w:val="24"/>
        </w:rPr>
        <w:t>ержки педагогических работников</w:t>
      </w:r>
      <w:r w:rsidRPr="002D6876">
        <w:rPr>
          <w:rFonts w:ascii="Times New Roman" w:hAnsi="Times New Roman" w:cs="Times New Roman"/>
          <w:szCs w:val="24"/>
        </w:rPr>
        <w:t>.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D6876" w:rsidRPr="002D6876" w:rsidRDefault="002D6876" w:rsidP="002D687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D6876">
        <w:rPr>
          <w:rFonts w:ascii="Times New Roman" w:eastAsia="Times New Roman" w:hAnsi="Times New Roman" w:cs="Times New Roman"/>
          <w:b/>
          <w:szCs w:val="24"/>
          <w:lang w:eastAsia="ru-RU"/>
        </w:rPr>
        <w:t>6. О</w:t>
      </w: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t>ценка учебно</w:t>
      </w:r>
      <w:r w:rsidRPr="002D6876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r w:rsidRPr="00A91CE8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методического обеспечения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 дошкольного образования, детской художественной литературой, периодическими изданиями, а также </w:t>
      </w:r>
      <w:r w:rsidRPr="002D6876">
        <w:rPr>
          <w:rFonts w:ascii="Times New Roman" w:hAnsi="Times New Roman" w:cs="Times New Roman"/>
          <w:szCs w:val="24"/>
        </w:rPr>
        <w:lastRenderedPageBreak/>
        <w:t>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 ДО.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В 2017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«Мир искусства», «Беседы с ребенком. Россия», «Беседы с ребенком. ОБЖ»,  «Беседы с ребенком. Времена года», «Беседы с ребенком. Великая Отечественная война» и другие;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− комплексы для оформления родительских уголков;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Подписные издания: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  газеты «Добрая дорога детства», «</w:t>
      </w:r>
      <w:r w:rsidRPr="002D6876">
        <w:rPr>
          <w:rFonts w:ascii="Times New Roman" w:hAnsi="Times New Roman" w:cs="Times New Roman"/>
          <w:szCs w:val="24"/>
          <w:lang w:val="en-US"/>
        </w:rPr>
        <w:t>STOP</w:t>
      </w:r>
      <w:r w:rsidRPr="002D6876">
        <w:rPr>
          <w:rFonts w:ascii="Times New Roman" w:hAnsi="Times New Roman" w:cs="Times New Roman"/>
          <w:szCs w:val="24"/>
        </w:rPr>
        <w:t xml:space="preserve"> – газета», «Крымский спасатель».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- журналы: «справочник руководителя», «Коррекционная работа в ДОУ», «ребенок в детском саду», «Дошкольное воспитание», «Детский сад (все для  воспитателей», «музыкальный руководитель», «Основы безопасности жизнедеятельности», «Управление ДОУ».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Информационное обеспечение ДОУ включает:</w:t>
      </w:r>
    </w:p>
    <w:p w:rsidR="002D6876" w:rsidRPr="002D6876" w:rsidRDefault="002D6876" w:rsidP="00007D4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7D4E">
        <w:rPr>
          <w:rFonts w:ascii="Times New Roman" w:hAnsi="Times New Roman" w:cs="Times New Roman"/>
          <w:szCs w:val="24"/>
        </w:rPr>
        <w:t>− информационно-телекоммуникационное оборудование – в 2017 году пополнилось ноутбуками – 2шт., 3 принтерами, интерактивное оборудование - 1 комплект ;</w:t>
      </w:r>
    </w:p>
    <w:p w:rsidR="002D6876" w:rsidRPr="002D6876" w:rsidRDefault="002D6876" w:rsidP="002D68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2D6876" w:rsidRPr="002D6876" w:rsidRDefault="002D6876" w:rsidP="002D68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D6876">
        <w:rPr>
          <w:rFonts w:ascii="Times New Roman" w:hAnsi="Times New Roman" w:cs="Times New Roman"/>
          <w:szCs w:val="24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71C82" w:rsidRPr="006D635D" w:rsidRDefault="00B961A5" w:rsidP="00571C8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571C82" w:rsidRPr="006D635D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групповые помещения – 12;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кабинет заведующего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методический кабинет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музыкальный зал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балетная студия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физкультурный зал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пищеблок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прачечная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медицинский кабинет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кабинет учителя-логопеда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 xml:space="preserve">− кабинет педагога-психолога −1; 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кабинет специалиста по закупкам – 1;</w:t>
      </w:r>
    </w:p>
    <w:p w:rsidR="00571C82" w:rsidRPr="006D635D" w:rsidRDefault="00571C82" w:rsidP="00571C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− кабинет инструктора по физической культуре – 1.</w:t>
      </w:r>
    </w:p>
    <w:p w:rsidR="006E4C5A" w:rsidRPr="006D635D" w:rsidRDefault="00DF3A45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В МБДОУ «ДС № 37 «Журавлик»</w:t>
      </w:r>
      <w:r w:rsidR="006E4C5A" w:rsidRPr="006D635D">
        <w:rPr>
          <w:rFonts w:ascii="Times New Roman" w:hAnsi="Times New Roman" w:cs="Times New Roman"/>
          <w:szCs w:val="24"/>
        </w:rPr>
        <w:t xml:space="preserve"> созданы безопасные условия для организации </w:t>
      </w:r>
      <w:r w:rsidRPr="006D635D">
        <w:rPr>
          <w:rFonts w:ascii="Times New Roman" w:hAnsi="Times New Roman" w:cs="Times New Roman"/>
          <w:szCs w:val="24"/>
        </w:rPr>
        <w:t>образовательной деятельности</w:t>
      </w:r>
      <w:r w:rsidR="006E4C5A" w:rsidRPr="006D635D">
        <w:rPr>
          <w:rFonts w:ascii="Times New Roman" w:hAnsi="Times New Roman" w:cs="Times New Roman"/>
          <w:szCs w:val="24"/>
        </w:rPr>
        <w:t xml:space="preserve"> воспитанников и их физического </w:t>
      </w:r>
      <w:r w:rsidRPr="006D635D">
        <w:rPr>
          <w:rFonts w:ascii="Times New Roman" w:hAnsi="Times New Roman" w:cs="Times New Roman"/>
          <w:szCs w:val="24"/>
        </w:rPr>
        <w:t>развития, игровое</w:t>
      </w:r>
      <w:r w:rsidR="006E4C5A" w:rsidRPr="006D635D">
        <w:rPr>
          <w:rFonts w:ascii="Times New Roman" w:hAnsi="Times New Roman" w:cs="Times New Roman"/>
          <w:szCs w:val="24"/>
        </w:rPr>
        <w:t xml:space="preserve"> </w:t>
      </w:r>
      <w:r w:rsidR="006E4C5A" w:rsidRPr="006D635D">
        <w:rPr>
          <w:rFonts w:ascii="Times New Roman" w:hAnsi="Times New Roman" w:cs="Times New Roman"/>
          <w:szCs w:val="24"/>
        </w:rPr>
        <w:lastRenderedPageBreak/>
        <w:t xml:space="preserve">оборудование имеет сертификаты качества, ежегодно проводится проверка спортивного оборудования. В ДОУ имеется зимний сад, спортивный зал, музыкальный зал, балетная студия, кабинет учителя-логопеда, кабинет педагога-психолога, методический кабинет, кабинет инструктора по физической культуре. Детские и спортивная площадки оборудованы малыми архитектурными формами, спортивными снарядами, игровым материалом и инвентарем для физического развития детей. </w:t>
      </w:r>
    </w:p>
    <w:p w:rsidR="006E4C5A" w:rsidRPr="006D635D" w:rsidRDefault="006E4C5A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труда. Все работники ДОУ прошли спецоценку условий труда.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</w:p>
    <w:p w:rsidR="006E4C5A" w:rsidRPr="006D635D" w:rsidRDefault="006E4C5A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В группах создана комфортная, безопасная предметно-развивающая среда.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деятельности.</w:t>
      </w:r>
    </w:p>
    <w:p w:rsidR="006E4C5A" w:rsidRPr="006D635D" w:rsidRDefault="006E4C5A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 xml:space="preserve"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 </w:t>
      </w:r>
    </w:p>
    <w:p w:rsidR="006E4C5A" w:rsidRPr="006D635D" w:rsidRDefault="006E4C5A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составляет 599,1 кв.м./ 1,9 кв.м на ребенка (в учет взята площадь групповых помещений). </w:t>
      </w:r>
    </w:p>
    <w:p w:rsidR="00571C82" w:rsidRDefault="006E4C5A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 xml:space="preserve">Между тем имеется площадь для организации дополнительных видов деятельности воспитанников, которая составляет </w:t>
      </w:r>
      <w:r w:rsidRPr="002D6876">
        <w:rPr>
          <w:rFonts w:ascii="Times New Roman" w:hAnsi="Times New Roman" w:cs="Times New Roman"/>
          <w:szCs w:val="24"/>
        </w:rPr>
        <w:t>236 кв. м</w:t>
      </w:r>
      <w:r w:rsidRPr="006D635D">
        <w:rPr>
          <w:rFonts w:ascii="Times New Roman" w:hAnsi="Times New Roman" w:cs="Times New Roman"/>
          <w:szCs w:val="24"/>
        </w:rPr>
        <w:t xml:space="preserve"> (музыкальный и спортивный зал, балетная студия).</w:t>
      </w:r>
      <w:r w:rsidR="00A91CE8">
        <w:rPr>
          <w:rFonts w:ascii="Times New Roman" w:hAnsi="Times New Roman" w:cs="Times New Roman"/>
          <w:szCs w:val="24"/>
        </w:rPr>
        <w:t xml:space="preserve"> </w:t>
      </w:r>
    </w:p>
    <w:p w:rsidR="00007D4E" w:rsidRPr="006D635D" w:rsidRDefault="00007D4E" w:rsidP="00007D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D635D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07D4E" w:rsidRPr="006D635D" w:rsidRDefault="00007D4E" w:rsidP="00007D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D635D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07D4E" w:rsidRPr="006D635D" w:rsidRDefault="00007D4E" w:rsidP="00007D4E">
      <w:pPr>
        <w:rPr>
          <w:rFonts w:ascii="Times New Roman" w:hAnsi="Times New Roman" w:cs="Times New Roman"/>
          <w:szCs w:val="24"/>
        </w:rPr>
      </w:pPr>
    </w:p>
    <w:p w:rsidR="00007D4E" w:rsidRDefault="00007D4E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7CC0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D67CC0" w:rsidSect="00B56B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CC0" w:rsidRPr="00D67CC0" w:rsidRDefault="00D67CC0" w:rsidP="00D67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67CC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Показатели</w:t>
      </w:r>
      <w:r w:rsidRPr="00D67CC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деятельности МБДОУ «ДС № 37 «Журавлик» города Евпатории Республики Крым»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подлежащей самообследованию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Единица измерения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322 человек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318 человек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 человек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292 человека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318 человек, 98,75 %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318 человек, 98,75 %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 человек/%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 человек/%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 человек, 10,5 %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 человек, 10,5 %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34 человек, 10,5 %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 дней, 1,5%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 человек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27 человек, 93 %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 человек, 93 %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 человека, 7 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 человека, 7 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 человек, 75,8 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 человек 24,1 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 человек 51,7 /%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 человек, 6,9 %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 человека, 6,9 %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 человек, 44,8 %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 человек, 17,2 %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27 человек, 93,1 %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26 человек, 89,7 %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 чел/ 322 чел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нет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599,1 кв. м.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 кв. м.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  <w:tr w:rsidR="00D67CC0" w:rsidRPr="00D67CC0" w:rsidTr="000715E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C0" w:rsidRPr="00D67CC0" w:rsidRDefault="00D67CC0" w:rsidP="00D6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67C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</w:t>
            </w:r>
          </w:p>
        </w:tc>
      </w:tr>
    </w:tbl>
    <w:p w:rsidR="00D67CC0" w:rsidRPr="006D635D" w:rsidRDefault="00D67CC0" w:rsidP="006E4C5A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D67CC0" w:rsidRPr="006D635D" w:rsidSect="00D67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B4" w:rsidRDefault="00E533B4">
      <w:pPr>
        <w:spacing w:after="0" w:line="240" w:lineRule="auto"/>
      </w:pPr>
      <w:r>
        <w:separator/>
      </w:r>
    </w:p>
  </w:endnote>
  <w:endnote w:type="continuationSeparator" w:id="0">
    <w:p w:rsidR="00E533B4" w:rsidRDefault="00E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E533B4"/>
  <w:p w:rsidR="006925F7" w:rsidRDefault="00E53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9366"/>
      <w:docPartObj>
        <w:docPartGallery w:val="Page Numbers (Bottom of Page)"/>
        <w:docPartUnique/>
      </w:docPartObj>
    </w:sdtPr>
    <w:sdtEndPr/>
    <w:sdtContent>
      <w:p w:rsidR="0023046B" w:rsidRDefault="002304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8E">
          <w:rPr>
            <w:noProof/>
          </w:rPr>
          <w:t>1</w:t>
        </w:r>
        <w:r>
          <w:fldChar w:fldCharType="end"/>
        </w:r>
      </w:p>
    </w:sdtContent>
  </w:sdt>
  <w:p w:rsidR="006925F7" w:rsidRDefault="00E533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E533B4"/>
  <w:p w:rsidR="006925F7" w:rsidRDefault="00E53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B4" w:rsidRDefault="00E533B4">
      <w:pPr>
        <w:spacing w:after="0" w:line="240" w:lineRule="auto"/>
      </w:pPr>
      <w:r>
        <w:separator/>
      </w:r>
    </w:p>
  </w:footnote>
  <w:footnote w:type="continuationSeparator" w:id="0">
    <w:p w:rsidR="00E533B4" w:rsidRDefault="00E5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E533B4"/>
  <w:p w:rsidR="006925F7" w:rsidRDefault="00E533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6B" w:rsidRDefault="002304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E533B4"/>
  <w:p w:rsidR="006925F7" w:rsidRDefault="00E533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414B"/>
    <w:multiLevelType w:val="hybridMultilevel"/>
    <w:tmpl w:val="18C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067F"/>
    <w:multiLevelType w:val="hybridMultilevel"/>
    <w:tmpl w:val="714A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5213"/>
    <w:multiLevelType w:val="hybridMultilevel"/>
    <w:tmpl w:val="836675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317F04"/>
    <w:multiLevelType w:val="hybridMultilevel"/>
    <w:tmpl w:val="DA769964"/>
    <w:lvl w:ilvl="0" w:tplc="2C3450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6"/>
    <w:rsid w:val="00007D4E"/>
    <w:rsid w:val="00016F90"/>
    <w:rsid w:val="000F3F08"/>
    <w:rsid w:val="0015748E"/>
    <w:rsid w:val="0023046B"/>
    <w:rsid w:val="002543BC"/>
    <w:rsid w:val="00284216"/>
    <w:rsid w:val="002A36DE"/>
    <w:rsid w:val="002D6876"/>
    <w:rsid w:val="00325177"/>
    <w:rsid w:val="00333BF6"/>
    <w:rsid w:val="00345E16"/>
    <w:rsid w:val="003A51B6"/>
    <w:rsid w:val="0049739A"/>
    <w:rsid w:val="005057BA"/>
    <w:rsid w:val="00571C82"/>
    <w:rsid w:val="006C25D1"/>
    <w:rsid w:val="006D635D"/>
    <w:rsid w:val="006E4C5A"/>
    <w:rsid w:val="00817AB2"/>
    <w:rsid w:val="00840535"/>
    <w:rsid w:val="008D29CE"/>
    <w:rsid w:val="00920210"/>
    <w:rsid w:val="009B0BDF"/>
    <w:rsid w:val="00A91CE8"/>
    <w:rsid w:val="00AB1AD1"/>
    <w:rsid w:val="00B13278"/>
    <w:rsid w:val="00B961A5"/>
    <w:rsid w:val="00BA2764"/>
    <w:rsid w:val="00BA4138"/>
    <w:rsid w:val="00C970FF"/>
    <w:rsid w:val="00CC4175"/>
    <w:rsid w:val="00D67CC0"/>
    <w:rsid w:val="00D74F2A"/>
    <w:rsid w:val="00D877BF"/>
    <w:rsid w:val="00DF3A45"/>
    <w:rsid w:val="00E533B4"/>
    <w:rsid w:val="00E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0F99-4399-46E5-97F4-57F79CE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82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C82"/>
    <w:rPr>
      <w:rFonts w:ascii="Arial" w:eastAsia="Calibri" w:hAnsi="Arial" w:cs="Arial"/>
      <w:sz w:val="24"/>
    </w:rPr>
  </w:style>
  <w:style w:type="paragraph" w:styleId="a5">
    <w:name w:val="List Paragraph"/>
    <w:basedOn w:val="a"/>
    <w:uiPriority w:val="34"/>
    <w:qFormat/>
    <w:rsid w:val="009202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87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74F2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3046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3046B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z37zhuravlik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z37zhuravlik@mail.ru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Категорийность педагогов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выская к.к.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к.к.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соответствует занимаемой должности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молодые специалисты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26762304"/>
        <c:axId val="226762864"/>
        <c:axId val="0"/>
      </c:bar3DChart>
      <c:catAx>
        <c:axId val="2267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6762864"/>
        <c:crosses val="autoZero"/>
        <c:auto val="1"/>
        <c:lblAlgn val="ctr"/>
        <c:lblOffset val="100"/>
        <c:noMultiLvlLbl val="0"/>
      </c:catAx>
      <c:valAx>
        <c:axId val="22676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676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45846885713032"/>
          <c:y val="0.16429392431117398"/>
          <c:w val="0.33333625998220068"/>
          <c:h val="0.793492939104284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16158580455029"/>
          <c:y val="9.5690360952587344E-2"/>
          <c:w val="0.48122658025809179"/>
          <c:h val="0.841291025548411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30 до 40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40 до 55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55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66784"/>
        <c:axId val="226767344"/>
        <c:axId val="0"/>
      </c:bar3DChart>
      <c:catAx>
        <c:axId val="22676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767344"/>
        <c:crosses val="autoZero"/>
        <c:auto val="1"/>
        <c:lblAlgn val="ctr"/>
        <c:lblOffset val="100"/>
        <c:noMultiLvlLbl val="0"/>
      </c:catAx>
      <c:valAx>
        <c:axId val="22676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6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"/>
          <c:y val="0.12566804149481317"/>
          <c:w val="0.37037037037037035"/>
          <c:h val="0.842620842101319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 до 10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10 до 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 20  до 30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44688"/>
        <c:axId val="205554112"/>
        <c:axId val="0"/>
      </c:bar3DChart>
      <c:catAx>
        <c:axId val="20274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554112"/>
        <c:crosses val="autoZero"/>
        <c:auto val="1"/>
        <c:lblAlgn val="ctr"/>
        <c:lblOffset val="100"/>
        <c:noMultiLvlLbl val="0"/>
      </c:catAx>
      <c:valAx>
        <c:axId val="20555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4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"/>
          <c:y val="7.6962149717178796E-2"/>
          <c:w val="0.34259259259259262"/>
          <c:h val="0.923037846075692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1F03-6658-4E3D-B529-E3D7697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2018-04-20T10:33:00Z</cp:lastPrinted>
  <dcterms:created xsi:type="dcterms:W3CDTF">2018-04-06T13:13:00Z</dcterms:created>
  <dcterms:modified xsi:type="dcterms:W3CDTF">2018-04-20T11:16:00Z</dcterms:modified>
</cp:coreProperties>
</file>